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left"/>
      </w:pPr>
      <w:r>
        <w:rPr>
          <w:rFonts w:ascii="IBM Plex Sans" w:cs="IBM Plex Sans" w:eastAsia="IBM Plex Sans" w:hAnsi="IBM Plex Sans"/>
          <w:b/>
          <w:bCs/>
          <w:sz w:val="32"/>
          <w:szCs w:val="32"/>
        </w:rPr>
        <w:t xml:space="preserve">Melvin Fernando</w:t>
      </w:r>
    </w:p>
    <w:p>
      <w:pPr>
        <w:spacing w:after="160"/>
      </w:pPr>
      <w:r>
        <w:rPr>
          <w:rFonts w:ascii="IBM Plex Sans" w:cs="IBM Plex Sans" w:eastAsia="IBM Plex Sans" w:hAnsi="IBM Plex Sans"/>
          <w:sz w:val="20"/>
          <w:szCs w:val="20"/>
        </w:rPr>
        <w:t xml:space="preserve">Ph: +91 8806946756  |  </w:t>
      </w:r>
      <w:r>
        <w:rPr>
          <w:rFonts w:ascii="IBM Plex Sans" w:cs="IBM Plex Sans" w:eastAsia="IBM Plex Sans" w:hAnsi="IBM Plex Sans"/>
          <w:sz w:val="20"/>
          <w:szCs w:val="20"/>
          <w:u w:val="single"/>
        </w:rPr>
        <w:t xml:space="preserve">melvinfernando175@gmail.com</w:t>
      </w:r>
      <w:r>
        <w:rPr>
          <w:rFonts w:ascii="IBM Plex Sans" w:cs="IBM Plex Sans" w:eastAsia="IBM Plex Sans" w:hAnsi="IBM Plex Sans"/>
          <w:sz w:val="20"/>
          <w:szCs w:val="20"/>
        </w:rPr>
        <w:t xml:space="preserve">  |  </w:t>
      </w:r>
      <w:hyperlink w:history="1" r:id="rIdktgyjls-mqen9sgowf8wt">
        <w:r>
          <w:rPr>
            <w:rFonts w:ascii="IBM Plex Sans" w:cs="IBM Plex Sans" w:eastAsia="IBM Plex Sans" w:hAnsi="IBM Plex Sans"/>
            <w:color w:val="1155CC"/>
            <w:sz w:val="20"/>
            <w:szCs w:val="20"/>
            <w:u w:val="single"/>
          </w:rPr>
          <w:t xml:space="preserve">https://www.mlvn.dev</w:t>
        </w:r>
      </w:hyperlink>
      <w:r>
        <w:rPr>
          <w:rFonts w:ascii="IBM Plex Sans" w:cs="IBM Plex Sans" w:eastAsia="IBM Plex Sans" w:hAnsi="IBM Plex Sans"/>
          <w:sz w:val="20"/>
          <w:szCs w:val="20"/>
        </w:rPr>
        <w:t xml:space="preserve">  |  Pune, Maharashtra</w:t>
      </w:r>
    </w:p>
    <w:p>
      <w:pPr>
        <w:spacing w:after="60"/>
      </w:pPr>
      <w:r>
        <w:rPr>
          <w:rFonts w:ascii="IBM Plex Sans" w:cs="IBM Plex Sans" w:eastAsia="IBM Plex Sans" w:hAnsi="IBM Plex Sans"/>
          <w:sz w:val="21"/>
          <w:szCs w:val="21"/>
        </w:rPr>
        <w:t xml:space="preserve">Frontend-focused software engineer with 4 years of professional experience building high-quality, scalable React/TypeScript applications across fintech, legal-tech, civic-tech, and clean-tech/EV infrastructure. Comfortable owning features end-to-end — from architecture and cross-functional collaboration with designers, PMs, and backend teams, through testing and deployment, to production support. Track record of building platforms and SDKs from scratch, driving performance and reliability improvements, mentoring junior engineers, and maintaining strong code-review, CI/CD, and testing practices.</w:t>
      </w:r>
    </w:p>
    <w:p>
      <w:pPr>
        <w:pBdr>
          <w:bottom w:val="single" w:color="222222" w:sz="6" w:space="2"/>
        </w:pBdr>
        <w:spacing w:after="120" w:before="280"/>
      </w:pPr>
      <w:r>
        <w:rPr>
          <w:rFonts w:ascii="IBM Plex Sans" w:cs="IBM Plex Sans" w:eastAsia="IBM Plex Sans" w:hAnsi="IBM Plex Sans"/>
          <w:b/>
          <w:bCs/>
          <w:color w:val="1A1A1A"/>
          <w:sz w:val="22"/>
          <w:szCs w:val="22"/>
        </w:rPr>
        <w:t xml:space="preserve">WORK EXPERIENCE</w:t>
      </w:r>
    </w:p>
    <w:p>
      <w:pPr>
        <w:spacing w:after="60" w:before="200"/>
      </w:pPr>
      <w:hyperlink w:history="1" r:id="rIdmnjbqpc3zrrc7pg33ykc7">
        <w:r>
          <w:rPr>
            <w:rFonts w:ascii="IBM Plex Sans" w:cs="IBM Plex Sans" w:eastAsia="IBM Plex Sans" w:hAnsi="IBM Plex Sans"/>
            <w:b/>
            <w:bCs/>
            <w:color w:val="1155CC"/>
            <w:sz w:val="22"/>
            <w:szCs w:val="22"/>
            <w:u w:val="single"/>
          </w:rPr>
          <w:t xml:space="preserve">Zoop Energy</w:t>
        </w:r>
      </w:hyperlink>
      <w:r>
        <w:rPr>
          <w:rFonts w:ascii="IBM Plex Sans" w:cs="IBM Plex Sans" w:eastAsia="IBM Plex Sans" w:hAnsi="IBM Plex Sans"/>
          <w:b/>
          <w:bCs/>
          <w:sz w:val="22"/>
          <w:szCs w:val="22"/>
        </w:rPr>
        <w:t xml:space="preserve">  —  Software Development Engineer 2</w:t>
      </w:r>
      <w:r>
        <w:rPr>
          <w:rFonts w:ascii="IBM Plex Sans" w:cs="IBM Plex Sans" w:eastAsia="IBM Plex Sans" w:hAnsi="IBM Plex Sans"/>
          <w:i/>
          <w:iCs/>
          <w:color w:val="555555"/>
          <w:sz w:val="20"/>
          <w:szCs w:val="20"/>
        </w:rPr>
        <w:t xml:space="preserve">   September 2025 – Present</w:t>
      </w:r>
    </w:p>
    <w:p>
      <w:pPr>
        <w:pStyle w:val="ListParagraph"/>
        <w:numPr>
          <w:ilvl w:val="0"/>
          <w:numId w:val="2"/>
        </w:numPr>
        <w:spacing w:after="120"/>
      </w:pPr>
      <w:r>
        <w:rPr>
          <w:rFonts w:ascii="IBM Plex Sans" w:cs="IBM Plex Sans" w:eastAsia="IBM Plex Sans" w:hAnsi="IBM Plex Sans"/>
          <w:b w:val="false"/>
          <w:bCs w:val="false"/>
          <w:sz w:val="21"/>
          <w:szCs w:val="21"/>
        </w:rPr>
        <w:t xml:space="preserve">Architected a </w:t>
      </w:r>
      <w:r>
        <w:rPr>
          <w:rFonts w:ascii="IBM Plex Sans" w:cs="IBM Plex Sans" w:eastAsia="IBM Plex Sans" w:hAnsi="IBM Plex Sans"/>
          <w:b/>
          <w:bCs/>
          <w:sz w:val="21"/>
          <w:szCs w:val="21"/>
        </w:rPr>
        <w:t xml:space="preserve">monorepo</w:t>
      </w:r>
      <w:r>
        <w:rPr>
          <w:rFonts w:ascii="IBM Plex Sans" w:cs="IBM Plex Sans" w:eastAsia="IBM Plex Sans" w:hAnsi="IBM Plex Sans"/>
          <w:b w:val="false"/>
          <w:bCs w:val="false"/>
          <w:sz w:val="21"/>
          <w:szCs w:val="21"/>
        </w:rPr>
        <w:t xml:space="preserve"> frontend structure with standardized tooling (</w:t>
      </w:r>
      <w:r>
        <w:rPr>
          <w:rFonts w:ascii="IBM Plex Sans" w:cs="IBM Plex Sans" w:eastAsia="IBM Plex Sans" w:hAnsi="IBM Plex Sans"/>
          <w:b/>
          <w:bCs/>
          <w:sz w:val="21"/>
          <w:szCs w:val="21"/>
        </w:rPr>
        <w:t xml:space="preserve">Husky</w:t>
      </w:r>
      <w:r>
        <w:rPr>
          <w:rFonts w:ascii="IBM Plex Sans" w:cs="IBM Plex Sans" w:eastAsia="IBM Plex Sans" w:hAnsi="IBM Plex Sans"/>
          <w:b w:val="false"/>
          <w:bCs w:val="false"/>
          <w:sz w:val="21"/>
          <w:szCs w:val="21"/>
        </w:rPr>
        <w:t xml:space="preserve"> pre-commit hooks, </w:t>
      </w:r>
      <w:r>
        <w:rPr>
          <w:rFonts w:ascii="IBM Plex Sans" w:cs="IBM Plex Sans" w:eastAsia="IBM Plex Sans" w:hAnsi="IBM Plex Sans"/>
          <w:b/>
          <w:bCs/>
          <w:sz w:val="21"/>
          <w:szCs w:val="21"/>
        </w:rPr>
        <w:t xml:space="preserve">ESLint/Prettier</w:t>
      </w:r>
      <w:r>
        <w:rPr>
          <w:rFonts w:ascii="IBM Plex Sans" w:cs="IBM Plex Sans" w:eastAsia="IBM Plex Sans" w:hAnsi="IBM Plex Sans"/>
          <w:b w:val="false"/>
          <w:bCs w:val="false"/>
          <w:sz w:val="21"/>
          <w:szCs w:val="21"/>
        </w:rPr>
        <w:t xml:space="preserve">, commit linting) and enforced </w:t>
      </w:r>
      <w:r>
        <w:rPr>
          <w:rFonts w:ascii="IBM Plex Sans" w:cs="IBM Plex Sans" w:eastAsia="IBM Plex Sans" w:hAnsi="IBM Plex Sans"/>
          <w:b/>
          <w:bCs/>
          <w:sz w:val="21"/>
          <w:szCs w:val="21"/>
        </w:rPr>
        <w:t xml:space="preserve">Git branching and PR review standards</w:t>
      </w:r>
      <w:r>
        <w:rPr>
          <w:rFonts w:ascii="IBM Plex Sans" w:cs="IBM Plex Sans" w:eastAsia="IBM Plex Sans" w:hAnsi="IBM Plex Sans"/>
          <w:b w:val="false"/>
          <w:bCs w:val="false"/>
          <w:sz w:val="21"/>
          <w:szCs w:val="21"/>
        </w:rPr>
        <w:t xml:space="preserve">, cutting broken builds reaching CI and reducing engineering time lost to build failures</w:t>
      </w:r>
    </w:p>
    <w:p>
      <w:pPr>
        <w:pStyle w:val="ListParagraph"/>
        <w:numPr>
          <w:ilvl w:val="0"/>
          <w:numId w:val="2"/>
        </w:numPr>
        <w:spacing w:after="120"/>
      </w:pPr>
      <w:r>
        <w:rPr>
          <w:rFonts w:ascii="IBM Plex Sans" w:cs="IBM Plex Sans" w:eastAsia="IBM Plex Sans" w:hAnsi="IBM Plex Sans"/>
          <w:b w:val="false"/>
          <w:bCs w:val="false"/>
          <w:sz w:val="21"/>
          <w:szCs w:val="21"/>
        </w:rPr>
        <w:t xml:space="preserve">Re-engineered the </w:t>
      </w:r>
      <w:r>
        <w:rPr>
          <w:rFonts w:ascii="IBM Plex Sans" w:cs="IBM Plex Sans" w:eastAsia="IBM Plex Sans" w:hAnsi="IBM Plex Sans"/>
          <w:b/>
          <w:bCs/>
          <w:sz w:val="21"/>
          <w:szCs w:val="21"/>
        </w:rPr>
        <w:t xml:space="preserve">challan payment flow</w:t>
      </w:r>
      <w:r>
        <w:rPr>
          <w:rFonts w:ascii="IBM Plex Sans" w:cs="IBM Plex Sans" w:eastAsia="IBM Plex Sans" w:hAnsi="IBM Plex Sans"/>
          <w:b w:val="false"/>
          <w:bCs w:val="false"/>
          <w:sz w:val="21"/>
          <w:szCs w:val="21"/>
        </w:rPr>
        <w:t xml:space="preserve"> on MyMotor Web (state management, </w:t>
      </w:r>
      <w:r>
        <w:rPr>
          <w:rFonts w:ascii="IBM Plex Sans" w:cs="IBM Plex Sans" w:eastAsia="IBM Plex Sans" w:hAnsi="IBM Plex Sans"/>
          <w:b/>
          <w:bCs/>
          <w:sz w:val="21"/>
          <w:szCs w:val="21"/>
        </w:rPr>
        <w:t xml:space="preserve">retry/error-handling logic</w:t>
      </w:r>
      <w:r>
        <w:rPr>
          <w:rFonts w:ascii="IBM Plex Sans" w:cs="IBM Plex Sans" w:eastAsia="IBM Plex Sans" w:hAnsi="IBM Plex Sans"/>
          <w:b w:val="false"/>
          <w:bCs w:val="false"/>
          <w:sz w:val="21"/>
          <w:szCs w:val="21"/>
        </w:rPr>
        <w:t xml:space="preserve">, gateway integration), increasing transaction volume by </w:t>
      </w:r>
      <w:r>
        <w:rPr>
          <w:rFonts w:ascii="IBM Plex Sans" w:cs="IBM Plex Sans" w:eastAsia="IBM Plex Sans" w:hAnsi="IBM Plex Sans"/>
          <w:b/>
          <w:bCs/>
          <w:sz w:val="21"/>
          <w:szCs w:val="21"/>
        </w:rPr>
        <w:t xml:space="preserve">37%</w:t>
      </w:r>
      <w:r>
        <w:rPr>
          <w:rFonts w:ascii="IBM Plex Sans" w:cs="IBM Plex Sans" w:eastAsia="IBM Plex Sans" w:hAnsi="IBM Plex Sans"/>
          <w:b w:val="false"/>
          <w:bCs w:val="false"/>
          <w:sz w:val="21"/>
          <w:szCs w:val="21"/>
        </w:rPr>
        <w:t xml:space="preserve"> and cutting payment failure rate by </w:t>
      </w:r>
      <w:r>
        <w:rPr>
          <w:rFonts w:ascii="IBM Plex Sans" w:cs="IBM Plex Sans" w:eastAsia="IBM Plex Sans" w:hAnsi="IBM Plex Sans"/>
          <w:b/>
          <w:bCs/>
          <w:sz w:val="21"/>
          <w:szCs w:val="21"/>
        </w:rPr>
        <w:t xml:space="preserve">24%</w:t>
      </w:r>
      <w:r>
        <w:rPr>
          <w:rFonts w:ascii="IBM Plex Sans" w:cs="IBM Plex Sans" w:eastAsia="IBM Plex Sans" w:hAnsi="IBM Plex Sans"/>
          <w:b w:val="false"/>
          <w:bCs w:val="false"/>
          <w:sz w:val="21"/>
          <w:szCs w:val="21"/>
        </w:rPr>
        <w:t xml:space="preserve"> on a core revenue surface</w:t>
      </w:r>
    </w:p>
    <w:p>
      <w:pPr>
        <w:pStyle w:val="ListParagraph"/>
        <w:numPr>
          <w:ilvl w:val="0"/>
          <w:numId w:val="2"/>
        </w:numPr>
        <w:spacing w:after="120"/>
      </w:pPr>
      <w:r>
        <w:rPr>
          <w:rFonts w:ascii="IBM Plex Sans" w:cs="IBM Plex Sans" w:eastAsia="IBM Plex Sans" w:hAnsi="IBM Plex Sans"/>
          <w:b w:val="false"/>
          <w:bCs w:val="false"/>
          <w:sz w:val="21"/>
          <w:szCs w:val="21"/>
        </w:rPr>
        <w:t xml:space="preserve">Led the </w:t>
      </w:r>
      <w:r>
        <w:rPr>
          <w:rFonts w:ascii="IBM Plex Sans" w:cs="IBM Plex Sans" w:eastAsia="IBM Plex Sans" w:hAnsi="IBM Plex Sans"/>
          <w:b/>
          <w:bCs/>
          <w:sz w:val="21"/>
          <w:szCs w:val="21"/>
        </w:rPr>
        <w:t xml:space="preserve">v2.0/v2.1 UI revamp</w:t>
      </w:r>
      <w:r>
        <w:rPr>
          <w:rFonts w:ascii="IBM Plex Sans" w:cs="IBM Plex Sans" w:eastAsia="IBM Plex Sans" w:hAnsi="IBM Plex Sans"/>
          <w:b w:val="false"/>
          <w:bCs w:val="false"/>
          <w:sz w:val="21"/>
          <w:szCs w:val="21"/>
        </w:rPr>
        <w:t xml:space="preserve"> of MyMotor Web, resolving </w:t>
      </w:r>
      <w:r>
        <w:rPr>
          <w:rFonts w:ascii="IBM Plex Sans" w:cs="IBM Plex Sans" w:eastAsia="IBM Plex Sans" w:hAnsi="IBM Plex Sans"/>
          <w:b/>
          <w:bCs/>
          <w:sz w:val="21"/>
          <w:szCs w:val="21"/>
        </w:rPr>
        <w:t xml:space="preserve">cross-browser and accessibility issues</w:t>
      </w:r>
      <w:r>
        <w:rPr>
          <w:rFonts w:ascii="IBM Plex Sans" w:cs="IBM Plex Sans" w:eastAsia="IBM Plex Sans" w:hAnsi="IBM Plex Sans"/>
          <w:b w:val="false"/>
          <w:bCs w:val="false"/>
          <w:sz w:val="21"/>
          <w:szCs w:val="21"/>
        </w:rPr>
        <w:t xml:space="preserve"> and mobile-rendering bugs across the platform's highest-traffic, most customer-facing pages</w:t>
      </w:r>
    </w:p>
    <w:p>
      <w:pPr>
        <w:pStyle w:val="ListParagraph"/>
        <w:numPr>
          <w:ilvl w:val="0"/>
          <w:numId w:val="2"/>
        </w:numPr>
        <w:spacing w:after="120"/>
      </w:pPr>
      <w:r>
        <w:rPr>
          <w:rFonts w:ascii="IBM Plex Sans" w:cs="IBM Plex Sans" w:eastAsia="IBM Plex Sans" w:hAnsi="IBM Plex Sans"/>
          <w:b w:val="false"/>
          <w:bCs w:val="false"/>
          <w:sz w:val="21"/>
          <w:szCs w:val="21"/>
        </w:rPr>
        <w:t xml:space="preserve">Diagnosed and fixed </w:t>
      </w:r>
      <w:r>
        <w:rPr>
          <w:rFonts w:ascii="IBM Plex Sans" w:cs="IBM Plex Sans" w:eastAsia="IBM Plex Sans" w:hAnsi="IBM Plex Sans"/>
          <w:b/>
          <w:bCs/>
          <w:sz w:val="21"/>
          <w:szCs w:val="21"/>
        </w:rPr>
        <w:t xml:space="preserve">CLS regressions</w:t>
      </w:r>
      <w:r>
        <w:rPr>
          <w:rFonts w:ascii="IBM Plex Sans" w:cs="IBM Plex Sans" w:eastAsia="IBM Plex Sans" w:hAnsi="IBM Plex Sans"/>
          <w:b w:val="false"/>
          <w:bCs w:val="false"/>
          <w:sz w:val="21"/>
          <w:szCs w:val="21"/>
        </w:rPr>
        <w:t xml:space="preserve"> and canonical-tag misconfigurations, improving </w:t>
      </w:r>
      <w:r>
        <w:rPr>
          <w:rFonts w:ascii="IBM Plex Sans" w:cs="IBM Plex Sans" w:eastAsia="IBM Plex Sans" w:hAnsi="IBM Plex Sans"/>
          <w:b/>
          <w:bCs/>
          <w:sz w:val="21"/>
          <w:szCs w:val="21"/>
        </w:rPr>
        <w:t xml:space="preserve">Core Web Vitals</w:t>
      </w:r>
      <w:r>
        <w:rPr>
          <w:rFonts w:ascii="IBM Plex Sans" w:cs="IBM Plex Sans" w:eastAsia="IBM Plex Sans" w:hAnsi="IBM Plex Sans"/>
          <w:b w:val="false"/>
          <w:bCs w:val="false"/>
          <w:sz w:val="21"/>
          <w:szCs w:val="21"/>
        </w:rPr>
        <w:t xml:space="preserve"> and preserving SEO equity at scale</w:t>
      </w:r>
    </w:p>
    <w:p>
      <w:pPr>
        <w:pStyle w:val="ListParagraph"/>
        <w:numPr>
          <w:ilvl w:val="0"/>
          <w:numId w:val="2"/>
        </w:numPr>
        <w:spacing w:after="120"/>
      </w:pPr>
      <w:r>
        <w:rPr>
          <w:rFonts w:ascii="IBM Plex Sans" w:cs="IBM Plex Sans" w:eastAsia="IBM Plex Sans" w:hAnsi="IBM Plex Sans"/>
          <w:b w:val="false"/>
          <w:bCs w:val="false"/>
          <w:sz w:val="21"/>
          <w:szCs w:val="21"/>
        </w:rPr>
        <w:t xml:space="preserve">Shipped </w:t>
      </w:r>
      <w:r>
        <w:rPr>
          <w:rFonts w:ascii="IBM Plex Sans" w:cs="IBM Plex Sans" w:eastAsia="IBM Plex Sans" w:hAnsi="IBM Plex Sans"/>
          <w:b/>
          <w:bCs/>
          <w:sz w:val="21"/>
          <w:szCs w:val="21"/>
        </w:rPr>
        <w:t xml:space="preserve">Insurance Pages</w:t>
      </w:r>
      <w:r>
        <w:rPr>
          <w:rFonts w:ascii="IBM Plex Sans" w:cs="IBM Plex Sans" w:eastAsia="IBM Plex Sans" w:hAnsi="IBM Plex Sans"/>
          <w:b w:val="false"/>
          <w:bCs w:val="false"/>
          <w:sz w:val="21"/>
          <w:szCs w:val="21"/>
        </w:rPr>
        <w:t xml:space="preserve"> as a new product vertical and built a technical </w:t>
      </w:r>
      <w:r>
        <w:rPr>
          <w:rFonts w:ascii="IBM Plex Sans" w:cs="IBM Plex Sans" w:eastAsia="IBM Plex Sans" w:hAnsi="IBM Plex Sans"/>
          <w:b/>
          <w:bCs/>
          <w:sz w:val="21"/>
          <w:szCs w:val="21"/>
        </w:rPr>
        <w:t xml:space="preserve">SEO</w:t>
      </w:r>
      <w:r>
        <w:rPr>
          <w:rFonts w:ascii="IBM Plex Sans" w:cs="IBM Plex Sans" w:eastAsia="IBM Plex Sans" w:hAnsi="IBM Plex Sans"/>
          <w:b w:val="false"/>
          <w:bCs w:val="false"/>
          <w:sz w:val="21"/>
          <w:szCs w:val="21"/>
        </w:rPr>
        <w:t xml:space="preserve"> stack (</w:t>
      </w:r>
      <w:r>
        <w:rPr>
          <w:rFonts w:ascii="IBM Plex Sans" w:cs="IBM Plex Sans" w:eastAsia="IBM Plex Sans" w:hAnsi="IBM Plex Sans"/>
          <w:b/>
          <w:bCs/>
          <w:sz w:val="21"/>
          <w:szCs w:val="21"/>
        </w:rPr>
        <w:t xml:space="preserve">JSON-LD</w:t>
      </w:r>
      <w:r>
        <w:rPr>
          <w:rFonts w:ascii="IBM Plex Sans" w:cs="IBM Plex Sans" w:eastAsia="IBM Plex Sans" w:hAnsi="IBM Plex Sans"/>
          <w:b w:val="false"/>
          <w:bCs w:val="false"/>
          <w:sz w:val="21"/>
          <w:szCs w:val="21"/>
        </w:rPr>
        <w:t xml:space="preserve"> structured data, schema markup, programmatic pages), extending platform reach and organic discoverability</w:t>
      </w:r>
    </w:p>
    <w:p>
      <w:pPr>
        <w:pStyle w:val="ListParagraph"/>
        <w:numPr>
          <w:ilvl w:val="0"/>
          <w:numId w:val="2"/>
        </w:numPr>
        <w:spacing w:after="120"/>
      </w:pPr>
      <w:r>
        <w:rPr>
          <w:rFonts w:ascii="IBM Plex Sans" w:cs="IBM Plex Sans" w:eastAsia="IBM Plex Sans" w:hAnsi="IBM Plex Sans"/>
          <w:b w:val="false"/>
          <w:bCs w:val="false"/>
          <w:sz w:val="21"/>
          <w:szCs w:val="21"/>
        </w:rPr>
        <w:t xml:space="preserve">Automated parts of the dev lifecycle using </w:t>
      </w:r>
      <w:r>
        <w:rPr>
          <w:rFonts w:ascii="IBM Plex Sans" w:cs="IBM Plex Sans" w:eastAsia="IBM Plex Sans" w:hAnsi="IBM Plex Sans"/>
          <w:b/>
          <w:bCs/>
          <w:sz w:val="21"/>
          <w:szCs w:val="21"/>
        </w:rPr>
        <w:t xml:space="preserve">Claude Code</w:t>
      </w:r>
      <w:r>
        <w:rPr>
          <w:rFonts w:ascii="IBM Plex Sans" w:cs="IBM Plex Sans" w:eastAsia="IBM Plex Sans" w:hAnsi="IBM Plex Sans"/>
          <w:b w:val="false"/>
          <w:bCs w:val="false"/>
          <w:sz w:val="21"/>
          <w:szCs w:val="21"/>
        </w:rPr>
        <w:t xml:space="preserve"> — ticket creation, documentation, implementation scaffolding, and </w:t>
      </w:r>
      <w:r>
        <w:rPr>
          <w:rFonts w:ascii="IBM Plex Sans" w:cs="IBM Plex Sans" w:eastAsia="IBM Plex Sans" w:hAnsi="IBM Plex Sans"/>
          <w:b/>
          <w:bCs/>
          <w:sz w:val="21"/>
          <w:szCs w:val="21"/>
        </w:rPr>
        <w:t xml:space="preserve">Playwright-based E2E testing</w:t>
      </w:r>
      <w:r>
        <w:rPr>
          <w:rFonts w:ascii="IBM Plex Sans" w:cs="IBM Plex Sans" w:eastAsia="IBM Plex Sans" w:hAnsi="IBM Plex Sans"/>
          <w:b w:val="false"/>
          <w:bCs w:val="false"/>
          <w:sz w:val="21"/>
          <w:szCs w:val="21"/>
        </w:rPr>
        <w:t xml:space="preserve"> — closing the loop from spec to shipped, tested feature</w:t>
      </w:r>
    </w:p>
    <w:p>
      <w:pPr>
        <w:pStyle w:val="ListParagraph"/>
        <w:numPr>
          <w:ilvl w:val="0"/>
          <w:numId w:val="2"/>
        </w:numPr>
        <w:spacing w:after="120"/>
      </w:pPr>
      <w:r>
        <w:rPr>
          <w:rFonts w:ascii="IBM Plex Sans" w:cs="IBM Plex Sans" w:eastAsia="IBM Plex Sans" w:hAnsi="IBM Plex Sans"/>
          <w:b w:val="false"/>
          <w:bCs w:val="false"/>
          <w:sz w:val="21"/>
          <w:szCs w:val="21"/>
        </w:rPr>
        <w:t xml:space="preserve">Reviewed teammates' pull requests and drove </w:t>
      </w:r>
      <w:r>
        <w:rPr>
          <w:rFonts w:ascii="IBM Plex Sans" w:cs="IBM Plex Sans" w:eastAsia="IBM Plex Sans" w:hAnsi="IBM Plex Sans"/>
          <w:b/>
          <w:bCs/>
          <w:sz w:val="21"/>
          <w:szCs w:val="21"/>
        </w:rPr>
        <w:t xml:space="preserve">code-review and PR standards</w:t>
      </w:r>
      <w:r>
        <w:rPr>
          <w:rFonts w:ascii="IBM Plex Sans" w:cs="IBM Plex Sans" w:eastAsia="IBM Plex Sans" w:hAnsi="IBM Plex Sans"/>
          <w:b w:val="false"/>
          <w:bCs w:val="false"/>
          <w:sz w:val="21"/>
          <w:szCs w:val="21"/>
        </w:rPr>
        <w:t xml:space="preserve"> across the team, and served as </w:t>
      </w:r>
      <w:r>
        <w:rPr>
          <w:rFonts w:ascii="IBM Plex Sans" w:cs="IBM Plex Sans" w:eastAsia="IBM Plex Sans" w:hAnsi="IBM Plex Sans"/>
          <w:b/>
          <w:bCs/>
          <w:sz w:val="21"/>
          <w:szCs w:val="21"/>
        </w:rPr>
        <w:t xml:space="preserve">advisor/coach</w:t>
      </w:r>
      <w:r>
        <w:rPr>
          <w:rFonts w:ascii="IBM Plex Sans" w:cs="IBM Plex Sans" w:eastAsia="IBM Plex Sans" w:hAnsi="IBM Plex Sans"/>
          <w:b w:val="false"/>
          <w:bCs w:val="false"/>
          <w:sz w:val="21"/>
          <w:szCs w:val="21"/>
        </w:rPr>
        <w:t xml:space="preserve"> to </w:t>
      </w:r>
      <w:r>
        <w:rPr>
          <w:rFonts w:ascii="IBM Plex Sans" w:cs="IBM Plex Sans" w:eastAsia="IBM Plex Sans" w:hAnsi="IBM Plex Sans"/>
          <w:b/>
          <w:bCs/>
          <w:sz w:val="21"/>
          <w:szCs w:val="21"/>
        </w:rPr>
        <w:t xml:space="preserve">4–5 interns</w:t>
      </w:r>
      <w:r>
        <w:rPr>
          <w:rFonts w:ascii="IBM Plex Sans" w:cs="IBM Plex Sans" w:eastAsia="IBM Plex Sans" w:hAnsi="IBM Plex Sans"/>
          <w:b w:val="false"/>
          <w:bCs w:val="false"/>
          <w:sz w:val="21"/>
          <w:szCs w:val="21"/>
        </w:rPr>
        <w:t xml:space="preserve"> in year one — instituting practices that reduced tech debt and kept the codebase maintainable at pace</w:t>
      </w:r>
    </w:p>
    <w:p>
      <w:pPr>
        <w:spacing w:after="60" w:before="200"/>
      </w:pPr>
      <w:hyperlink w:history="1" r:id="rIdb6qr9ruyakjgu5jlkcdgi">
        <w:r>
          <w:rPr>
            <w:rFonts w:ascii="IBM Plex Sans" w:cs="IBM Plex Sans" w:eastAsia="IBM Plex Sans" w:hAnsi="IBM Plex Sans"/>
            <w:b/>
            <w:bCs/>
            <w:color w:val="1155CC"/>
            <w:sz w:val="22"/>
            <w:szCs w:val="22"/>
            <w:u w:val="single"/>
          </w:rPr>
          <w:t xml:space="preserve">Zoop</w:t>
        </w:r>
      </w:hyperlink>
      <w:r>
        <w:rPr>
          <w:rFonts w:ascii="IBM Plex Sans" w:cs="IBM Plex Sans" w:eastAsia="IBM Plex Sans" w:hAnsi="IBM Plex Sans"/>
          <w:b/>
          <w:bCs/>
          <w:sz w:val="22"/>
          <w:szCs w:val="22"/>
        </w:rPr>
        <w:t xml:space="preserve">  —  Software Development Engineer 1</w:t>
      </w:r>
      <w:r>
        <w:rPr>
          <w:rFonts w:ascii="IBM Plex Sans" w:cs="IBM Plex Sans" w:eastAsia="IBM Plex Sans" w:hAnsi="IBM Plex Sans"/>
          <w:i/>
          <w:iCs/>
          <w:color w:val="555555"/>
          <w:sz w:val="20"/>
          <w:szCs w:val="20"/>
        </w:rPr>
        <w:t xml:space="preserve">   September 2022 – 2025</w:t>
      </w:r>
    </w:p>
    <w:p>
      <w:pPr>
        <w:pStyle w:val="ListParagraph"/>
        <w:numPr>
          <w:ilvl w:val="0"/>
          <w:numId w:val="2"/>
        </w:numPr>
        <w:spacing w:after="120"/>
      </w:pPr>
      <w:r>
        <w:rPr>
          <w:rFonts w:ascii="IBM Plex Sans" w:cs="IBM Plex Sans" w:eastAsia="IBM Plex Sans" w:hAnsi="IBM Plex Sans"/>
          <w:b w:val="false"/>
          <w:bCs w:val="false"/>
          <w:sz w:val="21"/>
          <w:szCs w:val="21"/>
        </w:rPr>
        <w:t xml:space="preserve">Built the </w:t>
      </w:r>
      <w:r>
        <w:rPr>
          <w:rFonts w:ascii="IBM Plex Sans" w:cs="IBM Plex Sans" w:eastAsia="IBM Plex Sans" w:hAnsi="IBM Plex Sans"/>
          <w:b/>
          <w:bCs/>
          <w:sz w:val="21"/>
          <w:szCs w:val="21"/>
        </w:rPr>
        <w:t xml:space="preserve">ZoopSign platform from the ground up</w:t>
      </w:r>
      <w:r>
        <w:rPr>
          <w:rFonts w:ascii="IBM Plex Sans" w:cs="IBM Plex Sans" w:eastAsia="IBM Plex Sans" w:hAnsi="IBM Plex Sans"/>
          <w:b w:val="false"/>
          <w:bCs w:val="false"/>
          <w:sz w:val="21"/>
          <w:szCs w:val="21"/>
        </w:rPr>
        <w:t xml:space="preserve"> — signing journey, document tracking, WhatsApp integration, and third-party tooling (Mixpanel, Sentry, Clarity, Novu) — owning the </w:t>
      </w:r>
      <w:r>
        <w:rPr>
          <w:rFonts w:ascii="IBM Plex Sans" w:cs="IBM Plex Sans" w:eastAsia="IBM Plex Sans" w:hAnsi="IBM Plex Sans"/>
          <w:b/>
          <w:bCs/>
          <w:sz w:val="21"/>
          <w:szCs w:val="21"/>
        </w:rPr>
        <w:t xml:space="preserve">React/TypeScript SPA architecture</w:t>
      </w:r>
      <w:r>
        <w:rPr>
          <w:rFonts w:ascii="IBM Plex Sans" w:cs="IBM Plex Sans" w:eastAsia="IBM Plex Sans" w:hAnsi="IBM Plex Sans"/>
          <w:b w:val="false"/>
          <w:bCs w:val="false"/>
          <w:sz w:val="21"/>
          <w:szCs w:val="21"/>
        </w:rPr>
        <w:t xml:space="preserve"> end-to-end from requirements to delivery</w:t>
      </w:r>
    </w:p>
    <w:p>
      <w:pPr>
        <w:pStyle w:val="ListParagraph"/>
        <w:numPr>
          <w:ilvl w:val="0"/>
          <w:numId w:val="2"/>
        </w:numPr>
        <w:spacing w:after="120"/>
      </w:pPr>
      <w:r>
        <w:rPr>
          <w:rFonts w:ascii="IBM Plex Sans" w:cs="IBM Plex Sans" w:eastAsia="IBM Plex Sans" w:hAnsi="IBM Plex Sans"/>
          <w:b w:val="false"/>
          <w:bCs w:val="false"/>
          <w:sz w:val="21"/>
          <w:szCs w:val="21"/>
        </w:rPr>
        <w:t xml:space="preserve">Built subscription-based </w:t>
      </w:r>
      <w:r>
        <w:rPr>
          <w:rFonts w:ascii="IBM Plex Sans" w:cs="IBM Plex Sans" w:eastAsia="IBM Plex Sans" w:hAnsi="IBM Plex Sans"/>
          <w:b/>
          <w:bCs/>
          <w:sz w:val="21"/>
          <w:szCs w:val="21"/>
        </w:rPr>
        <w:t xml:space="preserve">Razorpay</w:t>
      </w:r>
      <w:r>
        <w:rPr>
          <w:rFonts w:ascii="IBM Plex Sans" w:cs="IBM Plex Sans" w:eastAsia="IBM Plex Sans" w:hAnsi="IBM Plex Sans"/>
          <w:b w:val="false"/>
          <w:bCs w:val="false"/>
          <w:sz w:val="21"/>
          <w:szCs w:val="21"/>
        </w:rPr>
        <w:t xml:space="preserve"> payment integration and a centralized </w:t>
      </w:r>
      <w:r>
        <w:rPr>
          <w:rFonts w:ascii="IBM Plex Sans" w:cs="IBM Plex Sans" w:eastAsia="IBM Plex Sans" w:hAnsi="IBM Plex Sans"/>
          <w:b/>
          <w:bCs/>
          <w:sz w:val="21"/>
          <w:szCs w:val="21"/>
        </w:rPr>
        <w:t xml:space="preserve">entitlement/access-control layer</w:t>
      </w:r>
      <w:r>
        <w:rPr>
          <w:rFonts w:ascii="IBM Plex Sans" w:cs="IBM Plex Sans" w:eastAsia="IBM Plex Sans" w:hAnsi="IBM Plex Sans"/>
          <w:b w:val="false"/>
          <w:bCs w:val="false"/>
          <w:sz w:val="21"/>
          <w:szCs w:val="21"/>
        </w:rPr>
        <w:t xml:space="preserve"> gating premium features, driving the first ~500 customers in 4 months while preventing unauthorized access to paid surfaces</w:t>
      </w:r>
    </w:p>
    <w:p>
      <w:pPr>
        <w:pStyle w:val="ListParagraph"/>
        <w:numPr>
          <w:ilvl w:val="0"/>
          <w:numId w:val="2"/>
        </w:numPr>
        <w:spacing w:after="120"/>
      </w:pPr>
      <w:r>
        <w:rPr>
          <w:rFonts w:ascii="IBM Plex Sans" w:cs="IBM Plex Sans" w:eastAsia="IBM Plex Sans" w:hAnsi="IBM Plex Sans"/>
          <w:b w:val="false"/>
          <w:bCs w:val="false"/>
          <w:sz w:val="21"/>
          <w:szCs w:val="21"/>
        </w:rPr>
        <w:t xml:space="preserve">Led the </w:t>
      </w:r>
      <w:r>
        <w:rPr>
          <w:rFonts w:ascii="IBM Plex Sans" w:cs="IBM Plex Sans" w:eastAsia="IBM Plex Sans" w:hAnsi="IBM Plex Sans"/>
          <w:b/>
          <w:bCs/>
          <w:sz w:val="21"/>
          <w:szCs w:val="21"/>
        </w:rPr>
        <w:t xml:space="preserve">ZoopSign 2.0 (Navigator) frontend revamp</w:t>
      </w:r>
      <w:r>
        <w:rPr>
          <w:rFonts w:ascii="IBM Plex Sans" w:cs="IBM Plex Sans" w:eastAsia="IBM Plex Sans" w:hAnsi="IBM Plex Sans"/>
          <w:b w:val="false"/>
          <w:bCs w:val="false"/>
          <w:sz w:val="21"/>
          <w:szCs w:val="21"/>
        </w:rPr>
        <w:t xml:space="preserve"> — upgraded </w:t>
      </w:r>
      <w:r>
        <w:rPr>
          <w:rFonts w:ascii="IBM Plex Sans" w:cs="IBM Plex Sans" w:eastAsia="IBM Plex Sans" w:hAnsi="IBM Plex Sans"/>
          <w:b/>
          <w:bCs/>
          <w:sz w:val="21"/>
          <w:szCs w:val="21"/>
        </w:rPr>
        <w:t xml:space="preserve">Next.js 12→14</w:t>
      </w:r>
      <w:r>
        <w:rPr>
          <w:rFonts w:ascii="IBM Plex Sans" w:cs="IBM Plex Sans" w:eastAsia="IBM Plex Sans" w:hAnsi="IBM Plex Sans"/>
          <w:b w:val="false"/>
          <w:bCs w:val="false"/>
          <w:sz w:val="21"/>
          <w:szCs w:val="21"/>
        </w:rPr>
        <w:t xml:space="preserve">, migrated to App Router and Server Components, applying </w:t>
      </w:r>
      <w:r>
        <w:rPr>
          <w:rFonts w:ascii="IBM Plex Sans" w:cs="IBM Plex Sans" w:eastAsia="IBM Plex Sans" w:hAnsi="IBM Plex Sans"/>
          <w:b/>
          <w:bCs/>
          <w:sz w:val="21"/>
          <w:szCs w:val="21"/>
        </w:rPr>
        <w:t xml:space="preserve">React Hooks</w:t>
      </w:r>
      <w:r>
        <w:rPr>
          <w:rFonts w:ascii="IBM Plex Sans" w:cs="IBM Plex Sans" w:eastAsia="IBM Plex Sans" w:hAnsi="IBM Plex Sans"/>
          <w:b w:val="false"/>
          <w:bCs w:val="false"/>
          <w:sz w:val="21"/>
          <w:szCs w:val="21"/>
        </w:rPr>
        <w:t xml:space="preserve"> and modern component patterns to cut initial </w:t>
      </w:r>
      <w:r>
        <w:rPr>
          <w:rFonts w:ascii="IBM Plex Sans" w:cs="IBM Plex Sans" w:eastAsia="IBM Plex Sans" w:hAnsi="IBM Plex Sans"/>
          <w:b/>
          <w:bCs/>
          <w:sz w:val="21"/>
          <w:szCs w:val="21"/>
        </w:rPr>
        <w:t xml:space="preserve">page load and bundle size</w:t>
      </w:r>
      <w:r>
        <w:rPr>
          <w:rFonts w:ascii="IBM Plex Sans" w:cs="IBM Plex Sans" w:eastAsia="IBM Plex Sans" w:hAnsi="IBM Plex Sans"/>
          <w:b w:val="false"/>
          <w:bCs w:val="false"/>
          <w:sz w:val="21"/>
          <w:szCs w:val="21"/>
        </w:rPr>
        <w:t xml:space="preserve"> by ~30% and Time to Interactive from 4.5s to 3s for Global Fintech Fest</w:t>
      </w:r>
    </w:p>
    <w:p>
      <w:pPr>
        <w:pStyle w:val="ListParagraph"/>
        <w:numPr>
          <w:ilvl w:val="0"/>
          <w:numId w:val="2"/>
        </w:numPr>
        <w:spacing w:after="120"/>
      </w:pPr>
      <w:r>
        <w:rPr>
          <w:rFonts w:ascii="IBM Plex Sans" w:cs="IBM Plex Sans" w:eastAsia="IBM Plex Sans" w:hAnsi="IBM Plex Sans"/>
          <w:b w:val="false"/>
          <w:bCs w:val="false"/>
          <w:sz w:val="21"/>
          <w:szCs w:val="21"/>
        </w:rPr>
        <w:t xml:space="preserve">Architected a production-grade </w:t>
      </w:r>
      <w:r>
        <w:rPr>
          <w:rFonts w:ascii="IBM Plex Sans" w:cs="IBM Plex Sans" w:eastAsia="IBM Plex Sans" w:hAnsi="IBM Plex Sans"/>
          <w:b/>
          <w:bCs/>
          <w:sz w:val="21"/>
          <w:szCs w:val="21"/>
        </w:rPr>
        <w:t xml:space="preserve">eSign SDK in Svelte from scratch</w:t>
      </w:r>
      <w:r>
        <w:rPr>
          <w:rFonts w:ascii="IBM Plex Sans" w:cs="IBM Plex Sans" w:eastAsia="IBM Plex Sans" w:hAnsi="IBM Plex Sans"/>
          <w:b w:val="false"/>
          <w:bCs w:val="false"/>
          <w:sz w:val="21"/>
          <w:szCs w:val="21"/>
        </w:rPr>
        <w:t xml:space="preserve"> (core signing, camera/GPS capture, device fingerprinting) as a new stack for the team; automated </w:t>
      </w:r>
      <w:r>
        <w:rPr>
          <w:rFonts w:ascii="IBM Plex Sans" w:cs="IBM Plex Sans" w:eastAsia="IBM Plex Sans" w:hAnsi="IBM Plex Sans"/>
          <w:b/>
          <w:bCs/>
          <w:sz w:val="21"/>
          <w:szCs w:val="21"/>
        </w:rPr>
        <w:t xml:space="preserve">NPM package publishing</w:t>
      </w:r>
      <w:r>
        <w:rPr>
          <w:rFonts w:ascii="IBM Plex Sans" w:cs="IBM Plex Sans" w:eastAsia="IBM Plex Sans" w:hAnsi="IBM Plex Sans"/>
          <w:b w:val="false"/>
          <w:bCs w:val="false"/>
          <w:sz w:val="21"/>
          <w:szCs w:val="21"/>
        </w:rPr>
        <w:t xml:space="preserve"> via </w:t>
      </w:r>
      <w:r>
        <w:rPr>
          <w:rFonts w:ascii="IBM Plex Sans" w:cs="IBM Plex Sans" w:eastAsia="IBM Plex Sans" w:hAnsi="IBM Plex Sans"/>
          <w:b/>
          <w:bCs/>
          <w:sz w:val="21"/>
          <w:szCs w:val="21"/>
        </w:rPr>
        <w:t xml:space="preserve">GitHub Actions CI/CD</w:t>
      </w:r>
      <w:r>
        <w:rPr>
          <w:rFonts w:ascii="IBM Plex Sans" w:cs="IBM Plex Sans" w:eastAsia="IBM Plex Sans" w:hAnsi="IBM Plex Sans"/>
          <w:b w:val="false"/>
          <w:bCs w:val="false"/>
          <w:sz w:val="21"/>
          <w:szCs w:val="21"/>
        </w:rPr>
        <w:t xml:space="preserve">, eliminating manual release steps</w:t>
      </w:r>
    </w:p>
    <w:p>
      <w:pPr>
        <w:pStyle w:val="ListParagraph"/>
        <w:numPr>
          <w:ilvl w:val="0"/>
          <w:numId w:val="2"/>
        </w:numPr>
        <w:spacing w:after="120"/>
      </w:pPr>
      <w:r>
        <w:rPr>
          <w:rFonts w:ascii="IBM Plex Sans" w:cs="IBM Plex Sans" w:eastAsia="IBM Plex Sans" w:hAnsi="IBM Plex Sans"/>
          <w:b w:val="false"/>
          <w:bCs w:val="false"/>
          <w:sz w:val="21"/>
          <w:szCs w:val="21"/>
        </w:rPr>
        <w:t xml:space="preserve">Built the </w:t>
      </w:r>
      <w:r>
        <w:rPr>
          <w:rFonts w:ascii="IBM Plex Sans" w:cs="IBM Plex Sans" w:eastAsia="IBM Plex Sans" w:hAnsi="IBM Plex Sans"/>
          <w:b/>
          <w:bCs/>
          <w:sz w:val="21"/>
          <w:szCs w:val="21"/>
        </w:rPr>
        <w:t xml:space="preserve">eStamp procurement-to-signing funnel</w:t>
      </w:r>
      <w:r>
        <w:rPr>
          <w:rFonts w:ascii="IBM Plex Sans" w:cs="IBM Plex Sans" w:eastAsia="IBM Plex Sans" w:hAnsi="IBM Plex Sans"/>
          <w:b w:val="false"/>
          <w:bCs w:val="false"/>
          <w:sz w:val="21"/>
          <w:szCs w:val="21"/>
        </w:rPr>
        <w:t xml:space="preserve"> end-to-end, handling compliance edge cases that helped land major clients (</w:t>
      </w:r>
      <w:r>
        <w:rPr>
          <w:rFonts w:ascii="IBM Plex Sans" w:cs="IBM Plex Sans" w:eastAsia="IBM Plex Sans" w:hAnsi="IBM Plex Sans"/>
          <w:b/>
          <w:bCs/>
          <w:sz w:val="21"/>
          <w:szCs w:val="21"/>
        </w:rPr>
        <w:t xml:space="preserve">Bajaj, Shriram, Lawsuit Ventures</w:t>
      </w:r>
      <w:r>
        <w:rPr>
          <w:rFonts w:ascii="IBM Plex Sans" w:cs="IBM Plex Sans" w:eastAsia="IBM Plex Sans" w:hAnsi="IBM Plex Sans"/>
          <w:b w:val="false"/>
          <w:bCs w:val="false"/>
          <w:sz w:val="21"/>
          <w:szCs w:val="21"/>
        </w:rPr>
        <w:t xml:space="preserve">) and drove 1,000+ orders/day</w:t>
      </w:r>
    </w:p>
    <w:p>
      <w:pPr>
        <w:pStyle w:val="ListParagraph"/>
        <w:numPr>
          <w:ilvl w:val="0"/>
          <w:numId w:val="2"/>
        </w:numPr>
        <w:spacing w:after="120"/>
      </w:pPr>
      <w:r>
        <w:rPr>
          <w:rFonts w:ascii="IBM Plex Sans" w:cs="IBM Plex Sans" w:eastAsia="IBM Plex Sans" w:hAnsi="IBM Plex Sans"/>
          <w:b w:val="false"/>
          <w:bCs w:val="false"/>
          <w:sz w:val="21"/>
          <w:szCs w:val="21"/>
        </w:rPr>
        <w:t xml:space="preserve">Owned and delivered </w:t>
      </w:r>
      <w:r>
        <w:rPr>
          <w:rFonts w:ascii="IBM Plex Sans" w:cs="IBM Plex Sans" w:eastAsia="IBM Plex Sans" w:hAnsi="IBM Plex Sans"/>
          <w:b/>
          <w:bCs/>
          <w:sz w:val="21"/>
          <w:szCs w:val="21"/>
        </w:rPr>
        <w:t xml:space="preserve">RC Mapper</w:t>
      </w:r>
      <w:r>
        <w:rPr>
          <w:rFonts w:ascii="IBM Plex Sans" w:cs="IBM Plex Sans" w:eastAsia="IBM Plex Sans" w:hAnsi="IBM Plex Sans"/>
          <w:b w:val="false"/>
          <w:bCs w:val="false"/>
          <w:sz w:val="21"/>
          <w:szCs w:val="21"/>
        </w:rPr>
        <w:t xml:space="preserve">, an internal data platform processing 10K+ to lakhs of records per run at ~93% accuracy</w:t>
      </w:r>
    </w:p>
    <w:p>
      <w:pPr>
        <w:pStyle w:val="ListParagraph"/>
        <w:numPr>
          <w:ilvl w:val="0"/>
          <w:numId w:val="2"/>
        </w:numPr>
        <w:spacing w:after="120"/>
      </w:pPr>
      <w:r>
        <w:rPr>
          <w:rFonts w:ascii="IBM Plex Sans" w:cs="IBM Plex Sans" w:eastAsia="IBM Plex Sans" w:hAnsi="IBM Plex Sans"/>
          <w:b w:val="false"/>
          <w:bCs w:val="false"/>
          <w:sz w:val="21"/>
          <w:szCs w:val="21"/>
        </w:rPr>
        <w:t xml:space="preserve">Redesigned dashboard </w:t>
      </w:r>
      <w:r>
        <w:rPr>
          <w:rFonts w:ascii="IBM Plex Sans" w:cs="IBM Plex Sans" w:eastAsia="IBM Plex Sans" w:hAnsi="IBM Plex Sans"/>
          <w:b/>
          <w:bCs/>
          <w:sz w:val="21"/>
          <w:szCs w:val="21"/>
        </w:rPr>
        <w:t xml:space="preserve">state management</w:t>
      </w:r>
      <w:r>
        <w:rPr>
          <w:rFonts w:ascii="IBM Plex Sans" w:cs="IBM Plex Sans" w:eastAsia="IBM Plex Sans" w:hAnsi="IBM Plex Sans"/>
          <w:b w:val="false"/>
          <w:bCs w:val="false"/>
          <w:sz w:val="21"/>
          <w:szCs w:val="21"/>
        </w:rPr>
        <w:t xml:space="preserve">, cutting unnecessary re-renders by </w:t>
      </w:r>
      <w:r>
        <w:rPr>
          <w:rFonts w:ascii="IBM Plex Sans" w:cs="IBM Plex Sans" w:eastAsia="IBM Plex Sans" w:hAnsi="IBM Plex Sans"/>
          <w:b/>
          <w:bCs/>
          <w:sz w:val="21"/>
          <w:szCs w:val="21"/>
        </w:rPr>
        <w:t xml:space="preserve">70%</w:t>
      </w:r>
      <w:r>
        <w:rPr>
          <w:rFonts w:ascii="IBM Plex Sans" w:cs="IBM Plex Sans" w:eastAsia="IBM Plex Sans" w:hAnsi="IBM Plex Sans"/>
          <w:b w:val="false"/>
          <w:bCs w:val="false"/>
          <w:sz w:val="21"/>
          <w:szCs w:val="21"/>
        </w:rPr>
        <w:t xml:space="preserve">, and owned full deployment lifecycle independently across 6+ production services (</w:t>
      </w:r>
      <w:r>
        <w:rPr>
          <w:rFonts w:ascii="IBM Plex Sans" w:cs="IBM Plex Sans" w:eastAsia="IBM Plex Sans" w:hAnsi="IBM Plex Sans"/>
          <w:b/>
          <w:bCs/>
          <w:sz w:val="21"/>
          <w:szCs w:val="21"/>
        </w:rPr>
        <w:t xml:space="preserve">Jenkins, GitHub Actions, Docker</w:t>
      </w:r>
      <w:r>
        <w:rPr>
          <w:rFonts w:ascii="IBM Plex Sans" w:cs="IBM Plex Sans" w:eastAsia="IBM Plex Sans" w:hAnsi="IBM Plex Sans"/>
          <w:b w:val="false"/>
          <w:bCs w:val="false"/>
          <w:sz w:val="21"/>
          <w:szCs w:val="21"/>
        </w:rPr>
        <w:t xml:space="preserve">) without DevOps dependency</w:t>
      </w:r>
    </w:p>
    <w:p>
      <w:pPr>
        <w:pBdr>
          <w:bottom w:val="single" w:color="222222" w:sz="6" w:space="2"/>
        </w:pBdr>
        <w:spacing w:after="120" w:before="280"/>
      </w:pPr>
      <w:r>
        <w:rPr>
          <w:rFonts w:ascii="IBM Plex Sans" w:cs="IBM Plex Sans" w:eastAsia="IBM Plex Sans" w:hAnsi="IBM Plex Sans"/>
          <w:b/>
          <w:bCs/>
          <w:color w:val="1A1A1A"/>
          <w:sz w:val="22"/>
          <w:szCs w:val="22"/>
        </w:rPr>
        <w:t xml:space="preserve">PROJECTS</w:t>
      </w:r>
    </w:p>
    <w:p>
      <w:pPr>
        <w:pStyle w:val="ListParagraph"/>
        <w:numPr>
          <w:ilvl w:val="0"/>
          <w:numId w:val="2"/>
        </w:numPr>
        <w:spacing w:after="120"/>
      </w:pPr>
      <w:r>
        <w:rPr>
          <w:rFonts w:ascii="IBM Plex Sans" w:cs="IBM Plex Sans" w:eastAsia="IBM Plex Sans" w:hAnsi="IBM Plex Sans"/>
          <w:b/>
          <w:bCs/>
          <w:sz w:val="21"/>
          <w:szCs w:val="21"/>
        </w:rPr>
        <w:t xml:space="preserve">CreatorOS</w:t>
      </w:r>
      <w:r>
        <w:rPr>
          <w:rFonts w:ascii="IBM Plex Sans" w:cs="IBM Plex Sans" w:eastAsia="IBM Plex Sans" w:hAnsi="IBM Plex Sans"/>
          <w:b w:val="false"/>
          <w:bCs w:val="false"/>
          <w:sz w:val="21"/>
          <w:szCs w:val="21"/>
        </w:rPr>
        <w:t xml:space="preserve"> (May 2025 – Present) — Building an all-in-one creator platform spanning content planning, scheduling, publishing, ad management, and analytics across YouTube, Instagram, TikTok, and Twitter, with an AI layer advising creators on marketing spend allocation</w:t>
      </w:r>
    </w:p>
    <w:p>
      <w:pPr>
        <w:pStyle w:val="ListParagraph"/>
        <w:numPr>
          <w:ilvl w:val="0"/>
          <w:numId w:val="2"/>
        </w:numPr>
        <w:spacing w:after="120"/>
      </w:pPr>
      <w:r>
        <w:rPr>
          <w:rFonts w:ascii="IBM Plex Sans" w:cs="IBM Plex Sans" w:eastAsia="IBM Plex Sans" w:hAnsi="IBM Plex Sans"/>
          <w:b/>
          <w:bCs/>
          <w:sz w:val="21"/>
          <w:szCs w:val="21"/>
        </w:rPr>
        <w:t xml:space="preserve">Portfolio</w:t>
      </w:r>
      <w:r>
        <w:rPr>
          <w:rFonts w:ascii="IBM Plex Sans" w:cs="IBM Plex Sans" w:eastAsia="IBM Plex Sans" w:hAnsi="IBM Plex Sans"/>
          <w:b w:val="false"/>
          <w:bCs w:val="false"/>
          <w:sz w:val="21"/>
          <w:szCs w:val="21"/>
        </w:rPr>
        <w:t xml:space="preserve"> (Sept 2025) — Built with </w:t>
      </w:r>
      <w:r>
        <w:rPr>
          <w:rFonts w:ascii="IBM Plex Sans" w:cs="IBM Plex Sans" w:eastAsia="IBM Plex Sans" w:hAnsi="IBM Plex Sans"/>
          <w:b/>
          <w:bCs/>
          <w:sz w:val="21"/>
          <w:szCs w:val="21"/>
        </w:rPr>
        <w:t xml:space="preserve">Next.js 15 ISR</w:t>
      </w:r>
      <w:r>
        <w:rPr>
          <w:rFonts w:ascii="IBM Plex Sans" w:cs="IBM Plex Sans" w:eastAsia="IBM Plex Sans" w:hAnsi="IBM Plex Sans"/>
          <w:b w:val="false"/>
          <w:bCs w:val="false"/>
          <w:sz w:val="21"/>
          <w:szCs w:val="21"/>
        </w:rPr>
        <w:t xml:space="preserve">, Tailwind CSS, MDX; mobile Lighthouse 98/100; live Spotify &amp; Steam public API integrations</w:t>
      </w:r>
    </w:p>
    <w:p>
      <w:pPr>
        <w:pStyle w:val="ListParagraph"/>
        <w:numPr>
          <w:ilvl w:val="0"/>
          <w:numId w:val="2"/>
        </w:numPr>
        <w:spacing w:after="120"/>
      </w:pPr>
      <w:r>
        <w:rPr>
          <w:rFonts w:ascii="IBM Plex Sans" w:cs="IBM Plex Sans" w:eastAsia="IBM Plex Sans" w:hAnsi="IBM Plex Sans"/>
          <w:b/>
          <w:bCs/>
          <w:sz w:val="21"/>
          <w:szCs w:val="21"/>
        </w:rPr>
        <w:t xml:space="preserve">Buyist — E-commerce Platform</w:t>
      </w:r>
      <w:r>
        <w:rPr>
          <w:rFonts w:ascii="IBM Plex Sans" w:cs="IBM Plex Sans" w:eastAsia="IBM Plex Sans" w:hAnsi="IBM Plex Sans"/>
          <w:b w:val="false"/>
          <w:bCs w:val="false"/>
          <w:sz w:val="21"/>
          <w:szCs w:val="21"/>
        </w:rPr>
        <w:t xml:space="preserve"> (2023) — Full-stack e-commerce dashboard (Next.js, TypeScript, Node.js, Express, REST API) covering storefront and admin dashboard, frontend to backend</w:t>
      </w:r>
    </w:p>
    <w:p>
      <w:pPr>
        <w:pStyle w:val="ListParagraph"/>
        <w:numPr>
          <w:ilvl w:val="0"/>
          <w:numId w:val="2"/>
        </w:numPr>
        <w:spacing w:after="120"/>
      </w:pPr>
      <w:r>
        <w:rPr>
          <w:rFonts w:ascii="IBM Plex Sans" w:cs="IBM Plex Sans" w:eastAsia="IBM Plex Sans" w:hAnsi="IBM Plex Sans"/>
          <w:b/>
          <w:bCs/>
          <w:sz w:val="21"/>
          <w:szCs w:val="21"/>
        </w:rPr>
        <w:t xml:space="preserve">Frontend UI Component Library</w:t>
      </w:r>
      <w:r>
        <w:rPr>
          <w:rFonts w:ascii="IBM Plex Sans" w:cs="IBM Plex Sans" w:eastAsia="IBM Plex Sans" w:hAnsi="IBM Plex Sans"/>
          <w:b w:val="false"/>
          <w:bCs w:val="false"/>
          <w:sz w:val="21"/>
          <w:szCs w:val="21"/>
        </w:rPr>
        <w:t xml:space="preserve"> (2023) — Reusable, standalone component library establishing consistent design patterns and reducing duplicate UI work across projects</w:t>
      </w:r>
    </w:p>
    <w:p>
      <w:pPr>
        <w:pBdr>
          <w:bottom w:val="single" w:color="222222" w:sz="6" w:space="2"/>
        </w:pBdr>
        <w:spacing w:after="120" w:before="280"/>
      </w:pPr>
      <w:r>
        <w:rPr>
          <w:rFonts w:ascii="IBM Plex Sans" w:cs="IBM Plex Sans" w:eastAsia="IBM Plex Sans" w:hAnsi="IBM Plex Sans"/>
          <w:b/>
          <w:bCs/>
          <w:color w:val="1A1A1A"/>
          <w:sz w:val="22"/>
          <w:szCs w:val="22"/>
        </w:rPr>
        <w:t xml:space="preserve">EDUCATION</w:t>
      </w:r>
    </w:p>
    <w:p>
      <w:pPr>
        <w:spacing w:after="20"/>
      </w:pPr>
      <w:r>
        <w:rPr>
          <w:rFonts w:ascii="IBM Plex Sans" w:cs="IBM Plex Sans" w:eastAsia="IBM Plex Sans" w:hAnsi="IBM Plex Sans"/>
          <w:b/>
          <w:bCs/>
          <w:sz w:val="21"/>
          <w:szCs w:val="21"/>
        </w:rPr>
        <w:t xml:space="preserve">Savitribai Phule Pune University</w:t>
      </w:r>
      <w:r>
        <w:rPr>
          <w:rFonts w:ascii="IBM Plex Sans" w:cs="IBM Plex Sans" w:eastAsia="IBM Plex Sans" w:hAnsi="IBM Plex Sans"/>
          <w:sz w:val="21"/>
          <w:szCs w:val="21"/>
        </w:rPr>
        <w:t xml:space="preserve">  Pune, MH</w:t>
      </w:r>
    </w:p>
    <w:p>
      <w:pPr>
        <w:spacing w:after="20"/>
      </w:pPr>
      <w:r>
        <w:rPr>
          <w:rFonts w:ascii="IBM Plex Sans" w:cs="IBM Plex Sans" w:eastAsia="IBM Plex Sans" w:hAnsi="IBM Plex Sans"/>
          <w:sz w:val="21"/>
          <w:szCs w:val="21"/>
        </w:rPr>
        <w:t xml:space="preserve">Bachelor of Engineering in Computer Engineering, 2018 – 2022</w:t>
      </w:r>
    </w:p>
    <w:p>
      <w:pPr>
        <w:spacing w:after="100"/>
      </w:pPr>
      <w:r>
        <w:rPr>
          <w:rFonts w:ascii="IBM Plex Sans" w:cs="IBM Plex Sans" w:eastAsia="IBM Plex Sans" w:hAnsi="IBM Plex Sans"/>
          <w:sz w:val="21"/>
          <w:szCs w:val="21"/>
        </w:rPr>
        <w:t xml:space="preserve">Cumulative GPA: 8.9/10.0</w:t>
      </w:r>
    </w:p>
    <w:p>
      <w:pPr>
        <w:pBdr>
          <w:bottom w:val="single" w:color="222222" w:sz="6" w:space="2"/>
        </w:pBdr>
        <w:spacing w:after="120" w:before="280"/>
      </w:pPr>
      <w:r>
        <w:rPr>
          <w:rFonts w:ascii="IBM Plex Sans" w:cs="IBM Plex Sans" w:eastAsia="IBM Plex Sans" w:hAnsi="IBM Plex Sans"/>
          <w:b/>
          <w:bCs/>
          <w:color w:val="1A1A1A"/>
          <w:sz w:val="22"/>
          <w:szCs w:val="22"/>
        </w:rPr>
        <w:t xml:space="preserve">SKILLS</w:t>
      </w:r>
    </w:p>
    <w:p>
      <w:pPr>
        <w:spacing w:after="60"/>
      </w:pPr>
      <w:r>
        <w:rPr>
          <w:rFonts w:ascii="IBM Plex Sans" w:cs="IBM Plex Sans" w:eastAsia="IBM Plex Sans" w:hAnsi="IBM Plex Sans"/>
          <w:b/>
          <w:bCs/>
          <w:sz w:val="21"/>
          <w:szCs w:val="21"/>
        </w:rPr>
        <w:t xml:space="preserve">Front-End: </w:t>
      </w:r>
      <w:r>
        <w:rPr>
          <w:rFonts w:ascii="IBM Plex Sans" w:cs="IBM Plex Sans" w:eastAsia="IBM Plex Sans" w:hAnsi="IBM Plex Sans"/>
          <w:sz w:val="21"/>
          <w:szCs w:val="21"/>
        </w:rPr>
        <w:t xml:space="preserve">TypeScript, JavaScript (ES6+), React 18 (Hooks, Context API, performance optimization), Next.js 15, Svelte, Redux, Zustand, Tailwind CSS, Bootstrap, Shadcn UI, React Query, Vite, HTML5, CSS3</w:t>
      </w:r>
    </w:p>
    <w:p>
      <w:pPr>
        <w:spacing w:after="60"/>
      </w:pPr>
      <w:r>
        <w:rPr>
          <w:rFonts w:ascii="IBM Plex Sans" w:cs="IBM Plex Sans" w:eastAsia="IBM Plex Sans" w:hAnsi="IBM Plex Sans"/>
          <w:b/>
          <w:bCs/>
          <w:sz w:val="21"/>
          <w:szCs w:val="21"/>
        </w:rPr>
        <w:t xml:space="preserve">Design Systems &amp; UI: </w:t>
      </w:r>
      <w:r>
        <w:rPr>
          <w:rFonts w:ascii="IBM Plex Sans" w:cs="IBM Plex Sans" w:eastAsia="IBM Plex Sans" w:hAnsi="IBM Plex Sans"/>
          <w:sz w:val="21"/>
          <w:szCs w:val="21"/>
        </w:rPr>
        <w:t xml:space="preserve">Component libraries, reusable design patterns, accessible/responsive interfaces, completed coursework in Design Systems and Advanced React</w:t>
      </w:r>
    </w:p>
    <w:p>
      <w:pPr>
        <w:spacing w:after="60"/>
      </w:pPr>
      <w:r>
        <w:rPr>
          <w:rFonts w:ascii="IBM Plex Sans" w:cs="IBM Plex Sans" w:eastAsia="IBM Plex Sans" w:hAnsi="IBM Plex Sans"/>
          <w:b/>
          <w:bCs/>
          <w:sz w:val="21"/>
          <w:szCs w:val="21"/>
        </w:rPr>
        <w:t xml:space="preserve">Testing &amp; CI/CD: </w:t>
      </w:r>
      <w:r>
        <w:rPr>
          <w:rFonts w:ascii="IBM Plex Sans" w:cs="IBM Plex Sans" w:eastAsia="IBM Plex Sans" w:hAnsi="IBM Plex Sans"/>
          <w:sz w:val="21"/>
          <w:szCs w:val="21"/>
        </w:rPr>
        <w:t xml:space="preserve">Playwright (E2E), Jenkins, GitHub Actions, code review &amp; PR workflows, automated build/release pipelines</w:t>
      </w:r>
    </w:p>
    <w:p>
      <w:pPr>
        <w:spacing w:after="60"/>
      </w:pPr>
      <w:r>
        <w:rPr>
          <w:rFonts w:ascii="IBM Plex Sans" w:cs="IBM Plex Sans" w:eastAsia="IBM Plex Sans" w:hAnsi="IBM Plex Sans"/>
          <w:b/>
          <w:bCs/>
          <w:sz w:val="21"/>
          <w:szCs w:val="21"/>
        </w:rPr>
        <w:t xml:space="preserve">Auth &amp; Security: </w:t>
      </w:r>
      <w:r>
        <w:rPr>
          <w:rFonts w:ascii="IBM Plex Sans" w:cs="IBM Plex Sans" w:eastAsia="IBM Plex Sans" w:hAnsi="IBM Plex Sans"/>
          <w:sz w:val="21"/>
          <w:szCs w:val="21"/>
        </w:rPr>
        <w:t xml:space="preserve">JWT, OAuth, Clerk, secure payment/gateway integration, access-control/entitlement layers</w:t>
      </w:r>
    </w:p>
    <w:p>
      <w:pPr>
        <w:spacing w:after="60"/>
      </w:pPr>
      <w:r>
        <w:rPr>
          <w:rFonts w:ascii="IBM Plex Sans" w:cs="IBM Plex Sans" w:eastAsia="IBM Plex Sans" w:hAnsi="IBM Plex Sans"/>
          <w:b/>
          <w:bCs/>
          <w:sz w:val="21"/>
          <w:szCs w:val="21"/>
        </w:rPr>
        <w:t xml:space="preserve">Back-End: </w:t>
      </w:r>
      <w:r>
        <w:rPr>
          <w:rFonts w:ascii="IBM Plex Sans" w:cs="IBM Plex Sans" w:eastAsia="IBM Plex Sans" w:hAnsi="IBM Plex Sans"/>
          <w:sz w:val="21"/>
          <w:szCs w:val="21"/>
        </w:rPr>
        <w:t xml:space="preserve">Go, Node (Express), REST APIs</w:t>
      </w:r>
    </w:p>
    <w:p>
      <w:pPr>
        <w:spacing w:after="60"/>
      </w:pPr>
      <w:r>
        <w:rPr>
          <w:rFonts w:ascii="IBM Plex Sans" w:cs="IBM Plex Sans" w:eastAsia="IBM Plex Sans" w:hAnsi="IBM Plex Sans"/>
          <w:b/>
          <w:bCs/>
          <w:sz w:val="21"/>
          <w:szCs w:val="21"/>
        </w:rPr>
        <w:t xml:space="preserve">Database: </w:t>
      </w:r>
      <w:r>
        <w:rPr>
          <w:rFonts w:ascii="IBM Plex Sans" w:cs="IBM Plex Sans" w:eastAsia="IBM Plex Sans" w:hAnsi="IBM Plex Sans"/>
          <w:sz w:val="21"/>
          <w:szCs w:val="21"/>
        </w:rPr>
        <w:t xml:space="preserve">PostgreSQL, MongoDB, Redis, Firebase, Mongoose</w:t>
      </w:r>
    </w:p>
    <w:p>
      <w:pPr>
        <w:spacing w:after="60"/>
      </w:pPr>
      <w:r>
        <w:rPr>
          <w:rFonts w:ascii="IBM Plex Sans" w:cs="IBM Plex Sans" w:eastAsia="IBM Plex Sans" w:hAnsi="IBM Plex Sans"/>
          <w:b/>
          <w:bCs/>
          <w:sz w:val="21"/>
          <w:szCs w:val="21"/>
        </w:rPr>
        <w:t xml:space="preserve">Cloud &amp; Infra: </w:t>
      </w:r>
      <w:r>
        <w:rPr>
          <w:rFonts w:ascii="IBM Plex Sans" w:cs="IBM Plex Sans" w:eastAsia="IBM Plex Sans" w:hAnsi="IBM Plex Sans"/>
          <w:sz w:val="21"/>
          <w:szCs w:val="21"/>
        </w:rPr>
        <w:t xml:space="preserve">GCP, Docker, Kubernetes, Vercel, Netlify, Cloudflare</w:t>
      </w:r>
    </w:p>
    <w:p>
      <w:pPr>
        <w:spacing w:after="60"/>
      </w:pPr>
      <w:r>
        <w:rPr>
          <w:rFonts w:ascii="IBM Plex Sans" w:cs="IBM Plex Sans" w:eastAsia="IBM Plex Sans" w:hAnsi="IBM Plex Sans"/>
          <w:b/>
          <w:bCs/>
          <w:sz w:val="21"/>
          <w:szCs w:val="21"/>
        </w:rPr>
        <w:t xml:space="preserve">Observability &amp; Analytics: </w:t>
      </w:r>
      <w:r>
        <w:rPr>
          <w:rFonts w:ascii="IBM Plex Sans" w:cs="IBM Plex Sans" w:eastAsia="IBM Plex Sans" w:hAnsi="IBM Plex Sans"/>
          <w:sz w:val="21"/>
          <w:szCs w:val="21"/>
        </w:rPr>
        <w:t xml:space="preserve">Sentry, New Relic, Datadog, Grafana, Google Analytics, Mixpanel, Amplitude, Segment, CleverTap</w:t>
      </w:r>
    </w:p>
    <w:p>
      <w:pPr>
        <w:spacing w:after="60"/>
      </w:pPr>
      <w:r>
        <w:rPr>
          <w:rFonts w:ascii="IBM Plex Sans" w:cs="IBM Plex Sans" w:eastAsia="IBM Plex Sans" w:hAnsi="IBM Plex Sans"/>
          <w:b/>
          <w:bCs/>
          <w:sz w:val="21"/>
          <w:szCs w:val="21"/>
        </w:rPr>
        <w:t xml:space="preserve">Tools: </w:t>
      </w:r>
      <w:r>
        <w:rPr>
          <w:rFonts w:ascii="IBM Plex Sans" w:cs="IBM Plex Sans" w:eastAsia="IBM Plex Sans" w:hAnsi="IBM Plex Sans"/>
          <w:sz w:val="21"/>
          <w:szCs w:val="21"/>
        </w:rPr>
        <w:t xml:space="preserve">GitHub, Postman, Apidog, Razorpay, Strapi, Builder.io</w:t>
      </w:r>
    </w:p>
    <w:sectPr>
      <w:pgSz w:w="12240" w:h="15840"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3"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tgyjls-mqen9sgowf8wt" Type="http://schemas.openxmlformats.org/officeDocument/2006/relationships/hyperlink" Target="https://www.mlvn.dev" TargetMode="External"/><Relationship Id="rIdmnjbqpc3zrrc7pg33ykc7" Type="http://schemas.openxmlformats.org/officeDocument/2006/relationships/hyperlink" Target="https://zoop.energy/" TargetMode="External"/><Relationship Id="rIdb6qr9ruyakjgu5jlkcdgi" Type="http://schemas.openxmlformats.org/officeDocument/2006/relationships/hyperlink" Target="https://www.zoop.one/"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2026-09-10T08:20:38.795Z</dcterms:created>
  <dcterms:modified xsi:type="dcterms:W3CDTF">2026-09-10T08:20:38.811Z</dcterms:modified>
</cp:coreProperties>
</file>

<file path=docProps/custom.xml><?xml version="1.0" encoding="utf-8"?>
<Properties xmlns="http://schemas.openxmlformats.org/officeDocument/2006/custom-properties" xmlns:vt="http://schemas.openxmlformats.org/officeDocument/2006/docPropsVTypes"/>
</file>